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9"/>
        <w:ind w:left="5387" w:firstLine="285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103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к распоряжению Правительс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center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pStyle w:val="879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387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0"/>
        <w:jc w:val="righ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887"/>
        <w:ind w:firstLine="0"/>
        <w:jc w:val="righ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887"/>
        <w:ind w:firstLine="0"/>
        <w:jc w:val="righ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889"/>
        <w:jc w:val="center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9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jc w:val="center"/>
        <w:widowControl/>
        <w:rPr>
          <w:rFonts w:ascii="Times New Roman" w:hAnsi="Times New Roman" w:cs="Times New Roman"/>
          <w:b w:val="0"/>
          <w:bCs w:val="0"/>
          <w:sz w:val="40"/>
          <w:szCs w:val="40"/>
        </w:rPr>
      </w:pPr>
      <w:r>
        <w:rPr>
          <w:rFonts w:ascii="Times New Roman" w:hAnsi="Times New Roman" w:cs="Times New Roman"/>
          <w:b w:val="0"/>
          <w:bCs w:val="0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sz w:val="40"/>
          <w:szCs w:val="40"/>
        </w:rPr>
      </w:r>
      <w:r>
        <w:rPr>
          <w:rFonts w:ascii="Times New Roman" w:hAnsi="Times New Roman" w:cs="Times New Roman"/>
          <w:b w:val="0"/>
          <w:bCs w:val="0"/>
          <w:sz w:val="40"/>
          <w:szCs w:val="40"/>
        </w:rPr>
      </w:r>
    </w:p>
    <w:p>
      <w:pPr>
        <w:pStyle w:val="898"/>
        <w:jc w:val="both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О внесении изменений в Закон Ставропольского края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«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фонда обязательного</w:t>
      </w:r>
      <w:r>
        <w:rPr>
          <w:rFonts w:ascii="Times New Roman" w:hAnsi="Times New Roman" w:cs="Times New Roman"/>
          <w:sz w:val="28"/>
          <w:szCs w:val="28"/>
        </w:rPr>
        <w:t xml:space="preserve">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 xml:space="preserve"> Ста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плановый период 20</w:t>
      </w:r>
      <w:r>
        <w:rPr>
          <w:rFonts w:ascii="Times New Roman" w:hAnsi="Times New Roman" w:cs="Times New Roman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 xml:space="preserve">28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jc w:val="center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9"/>
        <w:jc w:val="center"/>
        <w:widowControl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pStyle w:val="887"/>
        <w:ind w:firstLine="709"/>
        <w:jc w:val="both"/>
        <w:spacing w:line="238" w:lineRule="auto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04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декабря 20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111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-кз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фонда обязательного медицинского страх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>
        <w:rPr>
          <w:rFonts w:ascii="Times New Roman" w:hAnsi="Times New Roman" w:cs="Times New Roman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 xml:space="preserve">28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left="709" w:right="0" w:firstLine="0"/>
        <w:jc w:val="both"/>
        <w:spacing w:line="238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 в статье 1: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части 1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1134" w:leader="none"/>
        </w:tabs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пункте 1 цифры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«60 612 733,27»,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«58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 400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 959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,70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и «1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974 627,70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заменить соответственно цифрами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703 754,90», 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«58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428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032,90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и «2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159 327,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70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;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1134" w:leader="none"/>
        </w:tabs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пункте 2 цифры «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60 612 733,27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заменить цифрами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«63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152</w:t>
      </w:r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479,29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»;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пунктом 3 следующего содержания:</w: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дефицит бюджета Фонда в сумме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448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724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,39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рублей.»;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дополнить частью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  <w:vertAlign w:val="baseline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baseline"/>
        </w:rPr>
        <w:t xml:space="preserve">. </w:t>
      </w:r>
      <w:r>
        <w:rPr>
          <w:rFonts w:ascii="Times New Roman" w:hAnsi="Times New Roman" w:cs="Times New Roman"/>
          <w:sz w:val="28"/>
          <w:szCs w:val="28"/>
          <w:vertAlign w:val="baseline"/>
        </w:rPr>
        <w:t xml:space="preserve">Установить</w:t>
      </w:r>
      <w:r>
        <w:rPr>
          <w:rFonts w:ascii="Times New Roman" w:hAnsi="Times New Roman" w:cs="Times New Roman"/>
          <w:sz w:val="28"/>
          <w:szCs w:val="28"/>
        </w:rPr>
        <w:t xml:space="preserve">, что источником финансирования дефицита бюджета Фонда в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году являются остатки средств бюджета Фонда по состоянию на 1 января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года.»;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стать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дополнить част</w:t>
      </w:r>
      <w:r>
        <w:rPr>
          <w:rFonts w:ascii="Times New Roman" w:hAnsi="Times New Roman" w:cs="Times New Roman"/>
          <w:sz w:val="28"/>
          <w:szCs w:val="28"/>
        </w:rPr>
        <w:t xml:space="preserve">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3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. Установить, что межбюджетные трансферты, получаемые из бюджета Федерального фонда обязательного медицинского страхования, </w:t>
      </w:r>
      <w:r>
        <w:rPr>
          <w:sz w:val="28"/>
          <w:szCs w:val="28"/>
        </w:rPr>
        <w:t xml:space="preserve">направляются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финансовое обеспечение </w:t>
      </w:r>
      <w:r>
        <w:rPr>
          <w:sz w:val="28"/>
          <w:szCs w:val="28"/>
        </w:rPr>
        <w:t xml:space="preserve">осуществлени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населения.</w:t>
      </w:r>
      <w:r>
        <w:rPr>
          <w:sz w:val="28"/>
          <w:szCs w:val="28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) дополнить частью </w:t>
      </w:r>
      <w:r>
        <w:rPr>
          <w:sz w:val="28"/>
          <w:szCs w:val="28"/>
        </w:rPr>
        <w:t xml:space="preserve">3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3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Установить,  что  межбюджетные  трансферты, получаемые  из бюджета Федерального фонда обязательного медицинского страхования,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направляются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софинансирования расходов  медицинских  организаций  Ставропольского  края  на  оплату труда врачей и среднего медицинского персонала.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стать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слова «</w:t>
      </w:r>
      <w:r>
        <w:rPr>
          <w:rFonts w:ascii="Times New Roman" w:hAnsi="Times New Roman" w:cs="Times New Roman"/>
          <w:sz w:val="28"/>
          <w:szCs w:val="28"/>
        </w:rPr>
        <w:t xml:space="preserve">Утвердить 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1. Утвердить 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spacing w:line="238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дополнить частью 2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2. У</w:t>
      </w:r>
      <w:r>
        <w:rPr>
          <w:rFonts w:ascii="Times New Roman" w:hAnsi="Times New Roman" w:cs="Times New Roman"/>
          <w:sz w:val="28"/>
          <w:szCs w:val="28"/>
        </w:rPr>
        <w:t xml:space="preserve">твердить</w:t>
      </w:r>
      <w:r>
        <w:rPr>
          <w:rFonts w:ascii="Times New Roman" w:hAnsi="Times New Roman" w:cs="Times New Roman"/>
          <w:sz w:val="28"/>
          <w:szCs w:val="28"/>
        </w:rPr>
        <w:t xml:space="preserve"> источники внутреннего финансирования дефицита бю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жета Фонда на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Закону.»;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части 1 статьи 6 цифры «5 112 132,76» заменить цифрами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«6 562 224,90»;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</w:r>
      <w:r>
        <w:rPr>
          <w:rFonts w:ascii="Times New Roman" w:hAnsi="Times New Roman" w:cs="Times New Roman"/>
          <w:sz w:val="22"/>
          <w:szCs w:val="28"/>
        </w:rPr>
      </w:r>
      <w:r>
        <w:rPr>
          <w:rFonts w:ascii="Times New Roman" w:hAnsi="Times New Roman" w:cs="Times New Roman"/>
          <w:sz w:val="22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Cs w:val="28"/>
        </w:rPr>
        <w:outlineLvl w:val="0"/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к Закону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Территориального </w:t>
      </w:r>
      <w:r>
        <w:rPr>
          <w:sz w:val="28"/>
          <w:szCs w:val="28"/>
        </w:rPr>
        <w:t xml:space="preserve">фонда обязательного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медицинского страхования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плановый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и 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9"/>
        <w:jc w:val="center"/>
        <w:widowControl w:val="off"/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pStyle w:val="879"/>
        <w:ind w:left="5529"/>
        <w:jc w:val="center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ОБЪЕМ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widowControl w:val="off"/>
        <w:rPr>
          <w:sz w:val="22"/>
          <w:szCs w:val="24"/>
        </w:rPr>
      </w:pPr>
      <w:r>
        <w:rPr>
          <w:sz w:val="22"/>
          <w:szCs w:val="24"/>
        </w:rPr>
      </w:r>
      <w:r>
        <w:rPr>
          <w:sz w:val="22"/>
          <w:szCs w:val="24"/>
        </w:rPr>
      </w:r>
      <w:r>
        <w:rPr>
          <w:sz w:val="22"/>
          <w:szCs w:val="24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доход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бюджета </w:t>
      </w:r>
      <w:r>
        <w:rPr>
          <w:bCs/>
          <w:sz w:val="28"/>
          <w:szCs w:val="28"/>
        </w:rPr>
        <w:t xml:space="preserve">Территориального фонда обязательного медицинского страхования Ставропольского края</w:t>
      </w:r>
      <w:r>
        <w:rPr>
          <w:sz w:val="28"/>
          <w:szCs w:val="28"/>
        </w:rPr>
        <w:t xml:space="preserve"> в соответствии с классификацией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доходов бюджетов на 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pacing w:val="-2"/>
          <w:sz w:val="20"/>
          <w:szCs w:val="22"/>
        </w:rPr>
      </w:pPr>
      <w:r>
        <w:rPr>
          <w:spacing w:val="-2"/>
          <w:sz w:val="20"/>
          <w:szCs w:val="22"/>
        </w:rPr>
      </w:r>
      <w:r>
        <w:rPr>
          <w:spacing w:val="-2"/>
          <w:sz w:val="20"/>
          <w:szCs w:val="22"/>
        </w:rPr>
      </w:r>
      <w:r>
        <w:rPr>
          <w:spacing w:val="-2"/>
          <w:sz w:val="20"/>
          <w:szCs w:val="22"/>
        </w:rPr>
      </w:r>
    </w:p>
    <w:p>
      <w:pPr>
        <w:pStyle w:val="879"/>
        <w:jc w:val="right"/>
        <w:spacing w:line="240" w:lineRule="exact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(тыс. рублей)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351" w:type="dxa"/>
        <w:tblInd w:w="113" w:type="dxa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none" w:color="000000" w:sz="0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88"/>
        <w:gridCol w:w="4050"/>
        <w:gridCol w:w="1813"/>
      </w:tblGrid>
      <w:tr>
        <w:tblPrEx>
          <w:tblBorders>
            <w:top w:val="single" w:color="000000" w:sz="4" w:space="0"/>
            <w:left w:val="single" w:color="000000" w:sz="4" w:space="0"/>
            <w:bottom w:val="none" w:color="000000" w:sz="0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488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050" w:type="dxa"/>
            <w:vAlign w:val="center"/>
            <w:textDirection w:val="lrTb"/>
            <w:noWrap w:val="false"/>
          </w:tcPr>
          <w:p>
            <w:pPr>
              <w:pStyle w:val="879"/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813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9"/>
        <w:spacing w:line="14" w:lineRule="auto"/>
        <w:widowControl w:val="off"/>
        <w:rPr>
          <w:sz w:val="2"/>
          <w:szCs w:val="2"/>
        </w:rPr>
      </w:pPr>
      <w:r>
        <w:rPr>
          <w:sz w:val="28"/>
          <w:szCs w:val="28"/>
        </w:rPr>
        <w:t xml:space="preserve"> </w:t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9351" w:type="dxa"/>
        <w:tblInd w:w="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88"/>
        <w:gridCol w:w="4050"/>
        <w:gridCol w:w="181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pStyle w:val="879"/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000 1 00 00000 00 0000 000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Налоговые и неналоговые       доходы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207 387,11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000 1 1</w:t>
            </w: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  <w:t xml:space="preserve">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Доходы от оказания платных у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слуг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и компенсации затра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осу-дарства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681,87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395 1 13 02999 09 0000 130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Прочие доходы от компенсации затрат бюджетов территориаль-ных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фондов обязательного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меди-цинского страхования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681,87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000 1 16 00000 00 0000 000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ind w:left="-108" w:right="-7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Штрафы, санкции, возмещение ущерба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17 705,24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07090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09 0000 140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94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Иные штрафы, неустойки, пени, 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плаченные в соответствии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за-коном или договором в случае неисполнения или ненадлежа-щего исполнения обязательств перед территориальным фондом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17 705,24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000 2 00 00000 00 0000 000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Безвозмездные поступления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60 496 367,79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000 2 02 00000 00 0000 000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108" w:right="-78"/>
              <w:jc w:val="both"/>
              <w:spacing w:line="235" w:lineRule="auto"/>
              <w:rPr>
                <w:rFonts w:ascii="Times New Roman" w:hAnsi="Times New Roman" w:cs="Times New Roman"/>
                <w:bCs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Безвозмездные поступления от д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ругих бюджетов бюджетно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й системы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ind w:left="-108" w:right="-78"/>
              <w:jc w:val="both"/>
              <w:spacing w:line="235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60 620 664,85 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2 02 5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000 00 0000 15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cs="Times New Roman"/>
                <w:spacing w:val="-6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ежбюджетные трансферты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передаваемые бюджетам государс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твенных внебюджетных фондов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spacing w:line="235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60 620 664,85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395 2 02 50203 09 0000 15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 из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бюджетов субъектов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передаваемые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терри-ториальным фондам обязатель-ного медицинского страхования на финансовое обеспечение до-полнительных видов и условий оказания медицинской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омощи,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не установленных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базовой про-граммой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обязательного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медицин-ского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/>
          </w:p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Субвенции бюджетам территориальных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фондов обязательного медицинского страх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ования на фи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нансовое обеспечение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 w:val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58 400 959,70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395 2 02 55</w:t>
            </w:r>
            <w:r>
              <w:rPr>
                <w:sz w:val="28"/>
                <w:szCs w:val="28"/>
              </w:rPr>
              <w:t xml:space="preserve">257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vMerge w:val="restart"/>
            <w:textDirection w:val="lrTb"/>
            <w:noWrap w:val="false"/>
          </w:tcPr>
          <w:p>
            <w:pPr>
              <w:pStyle w:val="887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пе-редаваемые бюджетам террито-риальных фондов обязательного медицинского страхования в це-лях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</w:p>
          <w:p>
            <w:pPr>
              <w:pStyle w:val="887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25 649,80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395 2 02 55</w:t>
            </w:r>
            <w:r>
              <w:rPr>
                <w:sz w:val="28"/>
                <w:szCs w:val="28"/>
              </w:rPr>
              <w:t xml:space="preserve">258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vMerge w:val="restart"/>
            <w:textDirection w:val="lrTb"/>
            <w:noWrap w:val="false"/>
          </w:tcPr>
          <w:p>
            <w:pPr>
              <w:pStyle w:val="887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терри-т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ориальных фондов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обязательн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о-го медицинского страхования на финансовое обеспечение осу-ществления денежных выплат стимулирующего характера ме-дицинским работникам за выяв-ление онкологических заболева-н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ий в ходе проведения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диспансе-ризации и профилактических медицинских осмотров населе-ния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879"/>
              <w:ind w:left="-108" w:right="-78"/>
              <w:jc w:val="both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</w:r>
            <w:r>
              <w:rPr>
                <w:color w:val="000000"/>
                <w:spacing w:val="-4"/>
                <w:sz w:val="28"/>
                <w:szCs w:val="28"/>
              </w:rPr>
            </w:r>
            <w:r>
              <w:rPr>
                <w:color w:val="000000"/>
                <w:spacing w:val="-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 1 423</w:t>
            </w:r>
            <w:r>
              <w:rPr>
                <w:sz w:val="28"/>
                <w:szCs w:val="28"/>
                <w:highlight w:val="white"/>
              </w:rPr>
              <w:t xml:space="preserve">,40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88" w:type="dxa"/>
            <w:vAlign w:val="top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395 2 02 59999 09 0000 15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0" w:type="dxa"/>
            <w:vAlign w:val="top"/>
            <w:textDirection w:val="lrTb"/>
            <w:noWrap w:val="false"/>
          </w:tcPr>
          <w:p>
            <w:pPr>
              <w:contextualSpacing w:val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Прочие межбюджетные транс-ферты, передаваемые бюджетам те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рриториальных фондов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13" w:type="dxa"/>
            <w:vAlign w:val="top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327,70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000 2 19 00000 00 0000 000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Возврат остатков субсидий, су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венций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межбюджетных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трансфертов, имеющих целевое назначение, прошлых лет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</w:rPr>
              <w:t xml:space="preserve"> 124 297,06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87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395 2 19 55093 09 0000 150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остатков субвенций  прошлых лет на фина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 122 470,55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87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395 2 19 55257 09 0000 150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остатков межбюджетных трансфертов прошлых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бюджетов территориальных фондов обязательного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-1 438,76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488" w:type="dxa"/>
            <w:vAlign w:val="top"/>
            <w:textDirection w:val="lrTb"/>
            <w:noWrap w:val="false"/>
          </w:tcPr>
          <w:p>
            <w:pPr>
              <w:pStyle w:val="887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395 2 19 55258 09 0000 150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4050" w:type="dxa"/>
            <w:vAlign w:val="top"/>
            <w:textDirection w:val="lrTb"/>
            <w:noWrap w:val="false"/>
          </w:tcPr>
          <w:p>
            <w:pPr>
              <w:pStyle w:val="887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остатков межбю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жет-ных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-387</w:t>
            </w:r>
            <w:r>
              <w:rPr>
                <w:sz w:val="28"/>
                <w:szCs w:val="28"/>
              </w:rPr>
              <w:t xml:space="preserve">,75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приложение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Cs w:val="28"/>
        </w:rPr>
        <w:outlineLvl w:val="0"/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Закону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«О бюджете Территориального фонда обязательного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медицинского страхования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2026</w:t>
      </w:r>
      <w:r>
        <w:rPr>
          <w:sz w:val="28"/>
          <w:szCs w:val="28"/>
        </w:rPr>
        <w:t xml:space="preserve"> год и плановый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период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и 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9"/>
        <w:jc w:val="center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ОБЪЕМ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межбюджетных трансфертов, получаемых из других бюджетов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бюджетной системы Российской Федерации</w:t>
      </w:r>
      <w:r>
        <w:rPr>
          <w:sz w:val="28"/>
          <w:szCs w:val="28"/>
        </w:rPr>
        <w:t xml:space="preserve">, на 2026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79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(тыс. 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351" w:type="dxa"/>
        <w:tblInd w:w="113" w:type="dxa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25"/>
        <w:gridCol w:w="2126"/>
      </w:tblGrid>
      <w:tr>
        <w:tblPrEx/>
        <w:trPr>
          <w:trHeight w:val="483"/>
        </w:trPr>
        <w:tc>
          <w:tcPr>
            <w:tcW w:w="7225" w:type="dxa"/>
            <w:vAlign w:val="center"/>
            <w:textDirection w:val="lrTb"/>
            <w:noWrap w:val="false"/>
          </w:tcPr>
          <w:p>
            <w:pPr>
              <w:pStyle w:val="879"/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межбюджетных трансфертов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9"/>
        <w:jc w:val="right"/>
        <w:spacing w:line="14" w:lineRule="auto"/>
        <w:widowControl w:val="o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79"/>
        <w:jc w:val="right"/>
        <w:spacing w:line="14" w:lineRule="auto"/>
        <w:widowControl w:val="off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9351" w:type="dxa"/>
        <w:tblInd w:w="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25"/>
        <w:gridCol w:w="2126"/>
      </w:tblGrid>
      <w:tr>
        <w:tblPrEx/>
        <w:trPr>
          <w:trHeight w:val="25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vAlign w:val="center"/>
            <w:textDirection w:val="lrTb"/>
            <w:noWrap w:val="false"/>
          </w:tcPr>
          <w:p>
            <w:pPr>
              <w:pStyle w:val="879"/>
              <w:ind w:lef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8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225" w:type="dxa"/>
            <w:vAlign w:val="top"/>
            <w:textDirection w:val="lrTb"/>
            <w:noWrap w:val="false"/>
          </w:tcPr>
          <w:p>
            <w:pPr>
              <w:pStyle w:val="879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всего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108"/>
              <w:jc w:val="both"/>
              <w:widowControl w:val="off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60 620 664,85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71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5" w:type="dxa"/>
            <w:vAlign w:val="top"/>
            <w:textDirection w:val="lrTb"/>
            <w:noWrap w:val="false"/>
          </w:tcPr>
          <w:p>
            <w:pPr>
              <w:pStyle w:val="879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108"/>
              <w:jc w:val="both"/>
              <w:widowControl w:val="off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</w:r>
            <w:r>
              <w:rPr>
                <w:sz w:val="20"/>
                <w:szCs w:val="28"/>
              </w:rPr>
            </w:r>
            <w:r>
              <w:rPr>
                <w:sz w:val="20"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79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3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225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108"/>
              <w:jc w:val="both"/>
              <w:widowControl w:val="off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58 400 959,70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123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225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contextualSpacing w:val="0"/>
              <w:ind w:left="-108"/>
              <w:jc w:val="both"/>
              <w:widowControl w:val="off"/>
              <w:rPr>
                <w:spacing w:val="-11"/>
                <w:sz w:val="28"/>
                <w:szCs w:val="28"/>
              </w:rPr>
              <w:suppressLineNumbers w:val="0"/>
            </w:pPr>
            <w:r>
              <w:rPr>
                <w:spacing w:val="0"/>
                <w:sz w:val="28"/>
                <w:szCs w:val="28"/>
              </w:rPr>
              <w:t xml:space="preserve">из бюджета Федерального фонда обязательного медицинского страхования на финансовое обеспечение осуществления денежных выплат стимулирующего харак</w:t>
            </w:r>
            <w:r>
              <w:rPr>
                <w:spacing w:val="0"/>
                <w:sz w:val="28"/>
                <w:szCs w:val="28"/>
              </w:rPr>
              <w:t xml:space="preserve">тера    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r>
              <w:rPr>
                <w:spacing w:val="-11"/>
                <w:sz w:val="28"/>
                <w:szCs w:val="28"/>
              </w:rPr>
            </w:r>
            <w:r>
              <w:rPr>
                <w:spacing w:val="-11"/>
                <w:sz w:val="28"/>
                <w:szCs w:val="28"/>
              </w:rPr>
            </w:r>
          </w:p>
          <w:p>
            <w:pPr>
              <w:pStyle w:val="879"/>
              <w:ind w:left="-108"/>
              <w:jc w:val="both"/>
              <w:widowControl w:val="off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1 423,40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23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225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бюджета Федерального фонда обязательного медицинского страхования на форм</w:t>
            </w:r>
            <w:r>
              <w:rPr>
                <w:sz w:val="28"/>
                <w:szCs w:val="28"/>
              </w:rPr>
              <w:t xml:space="preserve">иров</w:t>
            </w:r>
            <w:r>
              <w:rPr>
                <w:sz w:val="28"/>
                <w:szCs w:val="28"/>
              </w:rPr>
              <w:t xml:space="preserve">ание нормированного страхового запаса Территориального фонда обязательного медицинского страхования Ставропольского края в целях софинансирования расходов медицинских организаций Ставропольского края на оплату труда врачей и среднего медицинского персонала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25 649,80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23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7225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бюджета Ставропольского края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108"/>
              <w:jc w:val="both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7225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contextualSpacing w:val="0"/>
              <w:ind w:left="-108"/>
              <w:jc w:val="both"/>
              <w:widowControl w:val="off"/>
              <w:rPr>
                <w:spacing w:val="0"/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0"/>
                <w:sz w:val="28"/>
                <w:szCs w:val="28"/>
              </w:rPr>
              <w:t xml:space="preserve">з</w:t>
            </w:r>
            <w:r>
              <w:rPr>
                <w:spacing w:val="0"/>
                <w:sz w:val="28"/>
                <w:szCs w:val="28"/>
              </w:rPr>
              <w:t xml:space="preserve"> бюджетов территор</w:t>
            </w:r>
            <w:r>
              <w:rPr>
                <w:spacing w:val="0"/>
                <w:sz w:val="28"/>
                <w:szCs w:val="28"/>
              </w:rPr>
              <w:t xml:space="preserve">иальных фондов обязательного </w:t>
            </w:r>
            <w:r>
              <w:rPr>
                <w:spacing w:val="0"/>
                <w:sz w:val="28"/>
                <w:szCs w:val="28"/>
              </w:rPr>
              <w:t xml:space="preserve">медицинского страхования других субъектов Российской           </w:t>
            </w:r>
            <w:r>
              <w:rPr>
                <w:spacing w:val="0"/>
                <w:sz w:val="28"/>
                <w:szCs w:val="28"/>
              </w:rPr>
              <w:t xml:space="preserve">Федерации </w:t>
            </w:r>
            <w:r>
              <w:rPr>
                <w:spacing w:val="-6"/>
                <w:sz w:val="28"/>
                <w:szCs w:val="28"/>
              </w:rPr>
              <w:t xml:space="preserve">на оплату стоимости медицинской </w:t>
            </w:r>
            <w:r>
              <w:rPr>
                <w:spacing w:val="0"/>
                <w:sz w:val="28"/>
                <w:szCs w:val="28"/>
              </w:rPr>
              <w:t xml:space="preserve">помощи,   оказанной медицинскими организациями Ставропольского к</w:t>
            </w:r>
            <w:r>
              <w:rPr>
                <w:spacing w:val="0"/>
                <w:sz w:val="28"/>
                <w:szCs w:val="28"/>
              </w:rPr>
              <w:t xml:space="preserve">рая лицам, </w:t>
            </w:r>
            <w:r>
              <w:rPr>
                <w:spacing w:val="0"/>
                <w:sz w:val="28"/>
                <w:szCs w:val="28"/>
              </w:rPr>
              <w:t xml:space="preserve">застрахованным за пределами территории Ставропольского края</w:t>
            </w:r>
            <w:r>
              <w:rPr>
                <w:spacing w:val="0"/>
                <w:sz w:val="28"/>
                <w:szCs w:val="28"/>
                <w:highlight w:val="none"/>
              </w:rPr>
            </w:r>
            <w:r>
              <w:rPr>
                <w:spacing w:val="0"/>
                <w:sz w:val="28"/>
                <w:szCs w:val="28"/>
                <w:highlight w:val="none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327,70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) приложение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4"/>
          <w:szCs w:val="22"/>
        </w:rPr>
      </w:r>
      <w:r>
        <w:rPr>
          <w:rFonts w:ascii="Times New Roman" w:hAnsi="Times New Roman" w:cs="Times New Roman"/>
          <w:sz w:val="24"/>
          <w:szCs w:val="22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</w:rPr>
        <w:outlineLvl w:val="0"/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Закону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«О бюджете Территориального фонда обязательного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медицинского страхования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left="5528"/>
        <w:jc w:val="center"/>
        <w:spacing w:line="240" w:lineRule="exact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плановый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период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и 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widowControl w:val="off"/>
        <w:rPr>
          <w:sz w:val="16"/>
          <w:szCs w:val="14"/>
        </w:rPr>
      </w:pPr>
      <w:r>
        <w:rPr>
          <w:sz w:val="20"/>
          <w:szCs w:val="18"/>
        </w:rPr>
      </w:r>
      <w:r>
        <w:rPr>
          <w:sz w:val="16"/>
          <w:szCs w:val="14"/>
        </w:rPr>
      </w:r>
      <w:r>
        <w:rPr>
          <w:sz w:val="16"/>
          <w:szCs w:val="14"/>
        </w:rPr>
      </w:r>
    </w:p>
    <w:p>
      <w:pPr>
        <w:pStyle w:val="879"/>
        <w:jc w:val="center"/>
        <w:spacing w:line="240" w:lineRule="exact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РАСПРЕДЕЛЕНИЕ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бюдж</w:t>
      </w:r>
      <w:r>
        <w:rPr>
          <w:sz w:val="28"/>
          <w:szCs w:val="28"/>
        </w:rPr>
        <w:t xml:space="preserve">етных ассигнований </w:t>
      </w:r>
      <w:r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Территориального фонда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обязательного медиц</w:t>
      </w:r>
      <w:r>
        <w:rPr>
          <w:sz w:val="28"/>
          <w:szCs w:val="28"/>
        </w:rPr>
        <w:t xml:space="preserve">инского страхования Ставропольского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 разделам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подразделам, целевым статьям</w:t>
      </w:r>
      <w:r>
        <w:rPr>
          <w:sz w:val="28"/>
          <w:szCs w:val="28"/>
        </w:rPr>
        <w:t xml:space="preserve"> (государственным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программам и непрограммным направлениям деятельности)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группам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расходов классификации </w:t>
      </w:r>
      <w:r>
        <w:rPr>
          <w:sz w:val="28"/>
          <w:szCs w:val="28"/>
        </w:rPr>
        <w:t xml:space="preserve">расходов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бюджетов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2"/>
          <w:szCs w:val="18"/>
        </w:rPr>
      </w:pPr>
      <w:r>
        <w:rPr>
          <w:szCs w:val="20"/>
        </w:rPr>
      </w:r>
      <w:r>
        <w:rPr>
          <w:sz w:val="22"/>
          <w:szCs w:val="18"/>
        </w:rPr>
      </w:r>
      <w:r>
        <w:rPr>
          <w:sz w:val="22"/>
          <w:szCs w:val="18"/>
        </w:rPr>
      </w:r>
    </w:p>
    <w:p>
      <w:pPr>
        <w:pStyle w:val="879"/>
        <w:jc w:val="right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(тыс. 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498" w:type="dxa"/>
        <w:tblInd w:w="-34" w:type="dxa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61"/>
        <w:gridCol w:w="708"/>
        <w:gridCol w:w="569"/>
        <w:gridCol w:w="566"/>
        <w:gridCol w:w="1841"/>
        <w:gridCol w:w="710"/>
        <w:gridCol w:w="18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261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расхода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Коды бюджетной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890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261" w:type="dxa"/>
            <w:vAlign w:val="center"/>
            <w:vMerge w:val="continue"/>
            <w:textDirection w:val="lrTb"/>
            <w:noWrap w:val="false"/>
          </w:tcPr>
          <w:p>
            <w:pPr>
              <w:pStyle w:val="8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non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9" w:type="dxa"/>
            <w:vAlign w:val="center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Рз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  <w:right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non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pStyle w:val="89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79"/>
        <w:jc w:val="right"/>
        <w:spacing w:line="14" w:lineRule="auto"/>
        <w:widowControl w:val="off"/>
        <w:rPr>
          <w:rFonts w:ascii="Courier New" w:hAnsi="Courier New" w:cs="Courier New"/>
          <w:sz w:val="2"/>
          <w:szCs w:val="2"/>
        </w:rPr>
      </w:pPr>
      <w:r>
        <w:rPr>
          <w:rFonts w:ascii="Courier New" w:hAnsi="Courier New" w:cs="Courier New"/>
          <w:sz w:val="2"/>
          <w:szCs w:val="2"/>
        </w:rPr>
      </w:r>
      <w:r>
        <w:rPr>
          <w:rFonts w:ascii="Courier New" w:hAnsi="Courier New" w:cs="Courier New"/>
          <w:sz w:val="2"/>
          <w:szCs w:val="2"/>
        </w:rPr>
      </w:r>
      <w:r>
        <w:rPr>
          <w:rFonts w:ascii="Courier New" w:hAnsi="Courier New" w:cs="Courier New"/>
          <w:sz w:val="2"/>
          <w:szCs w:val="2"/>
        </w:rPr>
      </w:r>
    </w:p>
    <w:tbl>
      <w:tblPr>
        <w:tblW w:w="9497" w:type="dxa"/>
        <w:tblInd w:w="-3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59"/>
        <w:gridCol w:w="709"/>
        <w:gridCol w:w="567"/>
        <w:gridCol w:w="567"/>
        <w:gridCol w:w="1842"/>
        <w:gridCol w:w="709"/>
        <w:gridCol w:w="184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Территориальный фонд обязательного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меди-цин</w:t>
            </w:r>
            <w:r>
              <w:rPr>
                <w:sz w:val="28"/>
                <w:szCs w:val="28"/>
              </w:rPr>
              <w:t xml:space="preserve">ского </w:t>
            </w:r>
            <w:r>
              <w:rPr>
                <w:sz w:val="28"/>
                <w:szCs w:val="28"/>
              </w:rPr>
              <w:t xml:space="preserve">страхования Ста</w:t>
            </w:r>
            <w:r>
              <w:rPr>
                <w:sz w:val="28"/>
                <w:szCs w:val="28"/>
              </w:rPr>
              <w:t xml:space="preserve">в</w:t>
            </w:r>
            <w:r>
              <w:rPr>
                <w:sz w:val="28"/>
                <w:szCs w:val="28"/>
              </w:rPr>
              <w:t xml:space="preserve">ропольского края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88"/>
              <w:jc w:val="both"/>
              <w:spacing w:line="235" w:lineRule="auto"/>
              <w:widowControl w:val="off"/>
              <w:rPr>
                <w:sz w:val="18"/>
                <w:szCs w:val="18"/>
              </w:rPr>
              <w:outlineLvl w:val="5"/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spacing w:line="235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63 152 479,29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spacing w:line="235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90"/>
              <w:ind w:left="-88"/>
              <w:jc w:val="both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contextualSpacing w:val="0"/>
              <w:ind w:left="-88"/>
              <w:jc w:val="both"/>
              <w:spacing w:line="235" w:lineRule="auto"/>
              <w:rPr>
                <w:rFonts w:ascii="Times New Roman" w:hAnsi="Times New Roman" w:cs="Times New Roman"/>
                <w:spacing w:val="0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Другие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общегосуда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рствен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ные вопросы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79"/>
              <w:contextualSpacing w:val="0"/>
              <w:ind w:left="-91"/>
              <w:jc w:val="both"/>
              <w:spacing w:line="235" w:lineRule="auto"/>
              <w:widowControl w:val="off"/>
              <w:rPr>
                <w:spacing w:val="-6"/>
                <w:sz w:val="28"/>
                <w:szCs w:val="28"/>
              </w:rPr>
              <w:outlineLvl w:val="5"/>
              <w:suppressLineNumbers w:val="0"/>
            </w:pPr>
            <w:r>
              <w:rPr>
                <w:spacing w:val="-6"/>
                <w:sz w:val="28"/>
                <w:szCs w:val="28"/>
              </w:rPr>
              <w:t xml:space="preserve">Государственная про</w:t>
            </w:r>
            <w:r>
              <w:rPr>
                <w:spacing w:val="-6"/>
                <w:sz w:val="28"/>
                <w:szCs w:val="28"/>
              </w:rPr>
              <w:t xml:space="preserve">грам-ма</w:t>
            </w:r>
            <w:r>
              <w:rPr>
                <w:spacing w:val="-6"/>
                <w:sz w:val="28"/>
                <w:szCs w:val="28"/>
              </w:rPr>
              <w:t xml:space="preserve"> Ставропольского     края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«Развитие здраво-</w:t>
            </w:r>
            <w:r>
              <w:rPr>
                <w:spacing w:val="-6"/>
                <w:sz w:val="28"/>
                <w:szCs w:val="28"/>
              </w:rPr>
              <w:t xml:space="preserve">охран</w:t>
            </w:r>
            <w:r>
              <w:rPr>
                <w:spacing w:val="-6"/>
                <w:sz w:val="28"/>
                <w:szCs w:val="28"/>
              </w:rPr>
              <w:t xml:space="preserve">е</w:t>
            </w:r>
            <w:r>
              <w:rPr>
                <w:spacing w:val="-6"/>
                <w:sz w:val="28"/>
                <w:szCs w:val="28"/>
              </w:rPr>
              <w:t xml:space="preserve">ния» </w:t>
            </w:r>
            <w:r>
              <w:rPr>
                <w:spacing w:val="-6"/>
                <w:sz w:val="28"/>
                <w:szCs w:val="28"/>
              </w:rPr>
            </w:r>
            <w:r>
              <w:rPr>
                <w:spacing w:val="-6"/>
                <w:sz w:val="28"/>
                <w:szCs w:val="28"/>
              </w:rPr>
            </w:r>
          </w:p>
          <w:p>
            <w:pPr>
              <w:pStyle w:val="879"/>
              <w:ind w:left="-91"/>
              <w:jc w:val="both"/>
              <w:spacing w:line="235" w:lineRule="auto"/>
              <w:widowControl w:val="off"/>
              <w:rPr>
                <w:spacing w:val="-6"/>
                <w:sz w:val="28"/>
                <w:szCs w:val="28"/>
              </w:rPr>
              <w:outlineLvl w:val="5"/>
            </w:pPr>
            <w:r>
              <w:rPr>
                <w:spacing w:val="-6"/>
                <w:sz w:val="28"/>
                <w:szCs w:val="28"/>
              </w:rPr>
            </w:r>
            <w:r>
              <w:rPr>
                <w:spacing w:val="-6"/>
                <w:sz w:val="28"/>
                <w:szCs w:val="28"/>
              </w:rPr>
            </w: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88"/>
              <w:jc w:val="both"/>
              <w:spacing w:line="235" w:lineRule="auto"/>
              <w:widowControl w:val="off"/>
              <w:rPr>
                <w:spacing w:val="-4"/>
                <w:sz w:val="28"/>
                <w:szCs w:val="28"/>
              </w:rPr>
              <w:outlineLvl w:val="5"/>
            </w:pPr>
            <w:r>
              <w:rPr>
                <w:spacing w:val="-4"/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  <w:p>
            <w:pPr>
              <w:pStyle w:val="879"/>
              <w:ind w:left="-88"/>
              <w:jc w:val="both"/>
              <w:spacing w:line="235" w:lineRule="auto"/>
              <w:widowControl w:val="off"/>
              <w:rPr>
                <w:spacing w:val="-4"/>
                <w:sz w:val="28"/>
                <w:szCs w:val="28"/>
              </w:rPr>
              <w:outlineLvl w:val="5"/>
            </w:pP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88"/>
              <w:jc w:val="both"/>
              <w:spacing w:line="235" w:lineRule="auto"/>
              <w:widowControl w:val="off"/>
              <w:rPr>
                <w:spacing w:val="-4"/>
                <w:sz w:val="28"/>
                <w:szCs w:val="28"/>
                <w:highlight w:val="none"/>
              </w:rPr>
              <w:outlineLvl w:val="5"/>
            </w:pPr>
            <w:r>
              <w:rPr>
                <w:spacing w:val="-4"/>
                <w:sz w:val="28"/>
                <w:szCs w:val="28"/>
              </w:rPr>
              <w:t xml:space="preserve">Комплекс процессных    мероприятий «Организа-ция обязательного меди-цинского страхования граждан Российской Фе-дерации»</w:t>
            </w: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pacing w:val="-4"/>
                <w:sz w:val="28"/>
                <w:szCs w:val="28"/>
              </w:rPr>
              <w:outlineLvl w:val="5"/>
            </w:pP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медицинского стра-хования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территориях субъектов Российской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316,71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contextualSpacing w:val="0"/>
              <w:ind w:left="-88" w:right="-10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Расходы на выплаты пе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соналу в целях обеспеч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ния выполнения функций государственными (муни-ципальными)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казенными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учреждени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органами управления г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осударственными вн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бюд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-жетными фондами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90"/>
              <w:ind w:left="-88" w:right="-10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314 628,39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Закупка товаров, работ         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и услуг для обеспечения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(мун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ципальных)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91 998,99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бюджетные асси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689,33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Здравоохранение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62</w:t>
            </w:r>
            <w:r>
              <w:rPr>
                <w:sz w:val="28"/>
                <w:szCs w:val="28"/>
              </w:rPr>
              <w:t xml:space="preserve"> 745 162</w:t>
            </w:r>
            <w:r>
              <w:rPr>
                <w:sz w:val="28"/>
                <w:szCs w:val="28"/>
              </w:rPr>
              <w:t xml:space="preserve">,58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Амбулаторная помощь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ind w:left="-91"/>
              <w:jc w:val="both"/>
              <w:spacing w:line="235" w:lineRule="auto"/>
              <w:widowControl w:val="off"/>
              <w:rPr>
                <w:spacing w:val="-6"/>
                <w:sz w:val="28"/>
                <w:szCs w:val="28"/>
              </w:rPr>
              <w:outlineLvl w:val="5"/>
            </w:pPr>
            <w:r>
              <w:rPr>
                <w:spacing w:val="-6"/>
                <w:sz w:val="28"/>
                <w:szCs w:val="28"/>
              </w:rPr>
              <w:t xml:space="preserve">Государственная про</w:t>
            </w:r>
            <w:r>
              <w:rPr>
                <w:spacing w:val="-6"/>
                <w:sz w:val="28"/>
                <w:szCs w:val="28"/>
              </w:rPr>
              <w:t xml:space="preserve">грам-ма Ставропольского     края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«Развитие здраво-</w:t>
            </w:r>
            <w:r>
              <w:rPr>
                <w:spacing w:val="-6"/>
                <w:sz w:val="28"/>
                <w:szCs w:val="28"/>
              </w:rPr>
              <w:t xml:space="preserve">охран</w:t>
            </w:r>
            <w:r>
              <w:rPr>
                <w:spacing w:val="-6"/>
                <w:sz w:val="28"/>
                <w:szCs w:val="28"/>
              </w:rPr>
              <w:t xml:space="preserve">е</w:t>
            </w:r>
            <w:r>
              <w:rPr>
                <w:spacing w:val="-6"/>
                <w:sz w:val="28"/>
                <w:szCs w:val="28"/>
              </w:rPr>
              <w:t xml:space="preserve">ния» </w:t>
            </w:r>
            <w:r>
              <w:rPr>
                <w:spacing w:val="-6"/>
                <w:sz w:val="28"/>
                <w:szCs w:val="28"/>
              </w:rPr>
            </w:r>
            <w:r>
              <w:rPr>
                <w:spacing w:val="-6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212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 мероприятий «Организация обязательного медицинского страхования граждан 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заболе-ваний в ходе проведения диспансеризации и про-филактических медицин-ских осмотров населения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24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субси-дий бюджетным, авто-номным учреждениям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некоммерческим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1 506,99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contextualSpacing w:val="0"/>
              <w:ind w:left="-88"/>
              <w:jc w:val="both"/>
              <w:rPr>
                <w:rFonts w:ascii="Times New Roman" w:hAnsi="Times New Roman" w:cs="Times New Roman"/>
                <w:spacing w:val="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Другие 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вопросы в 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об-ла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ти здравоохранения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</w:t>
            </w:r>
            <w:r>
              <w:rPr>
                <w:sz w:val="28"/>
                <w:szCs w:val="28"/>
              </w:rPr>
              <w:t xml:space="preserve">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91"/>
              <w:jc w:val="both"/>
              <w:spacing w:line="235" w:lineRule="auto"/>
              <w:widowControl w:val="off"/>
              <w:rPr>
                <w:spacing w:val="-6"/>
                <w:sz w:val="28"/>
                <w:szCs w:val="28"/>
                <w:highlight w:val="none"/>
              </w:rPr>
              <w:outlineLvl w:val="5"/>
            </w:pPr>
            <w:r>
              <w:rPr>
                <w:spacing w:val="-6"/>
                <w:sz w:val="28"/>
                <w:szCs w:val="28"/>
              </w:rPr>
              <w:t xml:space="preserve">Государственная про</w:t>
            </w:r>
            <w:r>
              <w:rPr>
                <w:spacing w:val="-6"/>
                <w:sz w:val="28"/>
                <w:szCs w:val="28"/>
              </w:rPr>
              <w:t xml:space="preserve">грам-ма Ставропольского     края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«Развитие здраво-</w:t>
            </w:r>
            <w:r>
              <w:rPr>
                <w:spacing w:val="-6"/>
                <w:sz w:val="28"/>
                <w:szCs w:val="28"/>
              </w:rPr>
              <w:t xml:space="preserve">охран</w:t>
            </w:r>
            <w:r>
              <w:rPr>
                <w:spacing w:val="-6"/>
                <w:sz w:val="28"/>
                <w:szCs w:val="28"/>
              </w:rPr>
              <w:t xml:space="preserve">е</w:t>
            </w:r>
            <w:r>
              <w:rPr>
                <w:spacing w:val="-6"/>
                <w:sz w:val="28"/>
                <w:szCs w:val="28"/>
              </w:rPr>
              <w:t xml:space="preserve">ния» </w:t>
            </w:r>
            <w:r>
              <w:rPr>
                <w:spacing w:val="-6"/>
                <w:sz w:val="28"/>
                <w:szCs w:val="28"/>
                <w:highlight w:val="none"/>
              </w:rPr>
            </w:r>
            <w:r>
              <w:rPr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-91"/>
              <w:jc w:val="both"/>
              <w:spacing w:line="235" w:lineRule="auto"/>
              <w:widowControl w:val="off"/>
              <w:rPr>
                <w:spacing w:val="-6"/>
                <w:sz w:val="28"/>
                <w:szCs w:val="28"/>
              </w:rPr>
              <w:outlineLvl w:val="5"/>
            </w:pPr>
            <w:r>
              <w:rPr>
                <w:spacing w:val="-6"/>
                <w:sz w:val="28"/>
                <w:szCs w:val="28"/>
                <w:highlight w:val="none"/>
              </w:rPr>
            </w:r>
            <w:r>
              <w:rPr>
                <w:spacing w:val="-6"/>
                <w:sz w:val="28"/>
                <w:szCs w:val="28"/>
              </w:rPr>
            </w: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</w:t>
            </w:r>
            <w:r>
              <w:rPr>
                <w:sz w:val="28"/>
                <w:szCs w:val="28"/>
              </w:rPr>
              <w:t xml:space="preserve">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ind w:left="-88"/>
              <w:jc w:val="both"/>
              <w:widowControl w:val="off"/>
              <w:rPr>
                <w:sz w:val="24"/>
                <w:szCs w:val="24"/>
              </w:rPr>
              <w:outlineLvl w:val="5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4" w:type="dxa"/>
            <w:vAlign w:val="top"/>
            <w:textDirection w:val="lrTb"/>
            <w:noWrap w:val="false"/>
          </w:tcPr>
          <w:p>
            <w:pPr>
              <w:ind w:right="-99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</w:t>
            </w:r>
            <w:r>
              <w:rPr>
                <w:sz w:val="28"/>
                <w:szCs w:val="28"/>
              </w:rPr>
              <w:t xml:space="preserve">,59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79"/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Комплекс процессных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мероприятий «Организа-ция обязательного ме</w:t>
            </w:r>
            <w:r>
              <w:rPr>
                <w:sz w:val="28"/>
                <w:szCs w:val="28"/>
              </w:rPr>
              <w:t xml:space="preserve">ди-цинского страхования граждан Российской Фе-дерации»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ind w:right="-99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62 743 655</w:t>
            </w:r>
            <w:r>
              <w:rPr>
                <w:sz w:val="28"/>
                <w:szCs w:val="28"/>
              </w:rPr>
              <w:t xml:space="preserve">,59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contextualSpacing w:val="0"/>
              <w:ind w:left="-8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мероприятий по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ции дополнительного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рофессионального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обр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ра-ботников по программам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вышения квалифик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ции, 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а также по приоб-р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проведению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монта ме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дицинского об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рудования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313 074,82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субси-дий бюджетным, авто-номным учреждениям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некоммерческим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313 074,82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оказания      медицинской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 организациями Ставр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польского края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нам, застрахованным на территории других суб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ъ-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ектов Российской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 164</w:t>
            </w:r>
            <w:r>
              <w:rPr>
                <w:sz w:val="28"/>
                <w:szCs w:val="28"/>
              </w:rPr>
              <w:t xml:space="preserve"> 450,91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иные выплаты насел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 164</w:t>
            </w:r>
            <w:r>
              <w:rPr>
                <w:sz w:val="28"/>
                <w:szCs w:val="28"/>
              </w:rPr>
              <w:t xml:space="preserve"> 450,91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обязатель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медицинского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хования на территориях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субъектов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60 207 031,34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иные выплаты насел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58 094 096,45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 112 934,89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contextualSpacing w:val="0"/>
              <w:ind w:left="-88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Софинансирование рас-х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одов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медицинских</w:t>
            </w:r>
            <w:r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орга-низаций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0"/>
              <w:contextualSpacing w:val="0"/>
              <w:ind w:left="-88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 25 649,80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16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субси-дий бюджетным, авто-номным учреждениям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некоммерческим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25 649,80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дополнительных видов 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условий   оказания  ме-ди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помощи, не установленных базовой про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граммой обязательно-го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дицинского страхо-вания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99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33 448,72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W w:w="3259" w:type="dxa"/>
            <w:vAlign w:val="top"/>
            <w:textDirection w:val="lrTb"/>
            <w:noWrap w:val="false"/>
          </w:tcPr>
          <w:p>
            <w:pPr>
              <w:pStyle w:val="89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90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79"/>
              <w:ind w:right="-99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33 448,72</w:t>
            </w:r>
            <w:r>
              <w:rPr>
                <w:sz w:val="28"/>
                <w:szCs w:val="28"/>
              </w:rPr>
              <w:t xml:space="preserve">»;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0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7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 xml:space="preserve">дополнить приложением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9"/>
        <w:ind w:left="11907"/>
        <w:jc w:val="center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left="5529"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879"/>
        <w:contextualSpacing/>
        <w:ind w:left="5529"/>
        <w:jc w:val="center"/>
        <w:spacing w:line="240" w:lineRule="exact"/>
        <w:widowControl w:val="off"/>
        <w:outlineLvl w:val="0"/>
      </w:pPr>
      <w:r/>
      <w:r/>
    </w:p>
    <w:p>
      <w:pPr>
        <w:pStyle w:val="879"/>
        <w:contextualSpacing/>
        <w:ind w:left="552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Закону 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contextualSpacing/>
        <w:ind w:left="552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бюджете Территориального фонда обязательного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contextualSpacing/>
        <w:ind w:left="552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медицинского страхования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contextualSpacing/>
        <w:ind w:left="552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contextualSpacing/>
        <w:ind w:left="552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период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и 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jc w:val="center"/>
        <w:widowControl w:val="off"/>
      </w:pPr>
      <w:r/>
      <w:r/>
    </w:p>
    <w:p>
      <w:pPr>
        <w:pStyle w:val="879"/>
        <w:jc w:val="center"/>
        <w:widowControl w:val="off"/>
      </w:pPr>
      <w:r/>
      <w:r/>
    </w:p>
    <w:p>
      <w:pPr>
        <w:pStyle w:val="879"/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ИСТОЧНИКИ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внутреннего</w:t>
      </w:r>
      <w:r>
        <w:rPr>
          <w:bCs/>
          <w:sz w:val="28"/>
          <w:szCs w:val="28"/>
        </w:rPr>
        <w:t xml:space="preserve"> финансирования дефицита бюджета Территориального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фонда обязательного медицинского страхования Ставропольского края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9"/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spacing w:line="240" w:lineRule="exact"/>
        <w:widowControl w:val="off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79"/>
        <w:jc w:val="right"/>
        <w:spacing w:line="240" w:lineRule="exact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(тыс. рублей)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0" w:type="auto"/>
        <w:tblInd w:w="70" w:type="dxa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472"/>
        <w:gridCol w:w="4041"/>
        <w:gridCol w:w="1843"/>
      </w:tblGrid>
      <w:tr>
        <w:tblPrEx/>
        <w:trPr>
          <w:trHeight w:val="600"/>
        </w:trPr>
        <w:tc>
          <w:tcPr>
            <w:tcBorders>
              <w:bottom w:val="none" w:color="000000" w:sz="4" w:space="0"/>
            </w:tcBorders>
            <w:tcW w:w="3472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4041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источника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внутреннего финансирования дефицита бюджета Фонда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9"/>
        <w:jc w:val="right"/>
        <w:spacing w:line="14" w:lineRule="auto"/>
        <w:widowControl w:val="off"/>
        <w:rPr>
          <w:bCs/>
          <w:sz w:val="2"/>
          <w:szCs w:val="2"/>
        </w:rPr>
      </w:pPr>
      <w:r>
        <w:rPr>
          <w:bCs/>
          <w:sz w:val="2"/>
          <w:szCs w:val="2"/>
        </w:rPr>
      </w:r>
      <w:r>
        <w:rPr>
          <w:bCs/>
          <w:sz w:val="2"/>
          <w:szCs w:val="2"/>
        </w:rPr>
      </w:r>
      <w:r>
        <w:rPr>
          <w:bCs/>
          <w:sz w:val="2"/>
          <w:szCs w:val="2"/>
        </w:rPr>
      </w:r>
    </w:p>
    <w:tbl>
      <w:tblPr>
        <w:tblW w:w="0" w:type="auto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462"/>
        <w:gridCol w:w="4051"/>
        <w:gridCol w:w="1843"/>
      </w:tblGrid>
      <w:tr>
        <w:tblPrEx/>
        <w:trPr>
          <w:trHeight w:val="223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2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1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000 01 00 00 00 00 0000 000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внутреннего фина</w:t>
            </w:r>
            <w:r>
              <w:rPr>
                <w:sz w:val="28"/>
                <w:szCs w:val="28"/>
              </w:rPr>
              <w:t xml:space="preserve">н</w:t>
            </w:r>
            <w:r>
              <w:rPr>
                <w:sz w:val="28"/>
                <w:szCs w:val="28"/>
              </w:rPr>
              <w:t xml:space="preserve">сирования дефицитов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79"/>
              <w:ind w:right="-70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 448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 724</w:t>
            </w:r>
            <w:r>
              <w:rPr>
                <w:sz w:val="28"/>
                <w:szCs w:val="28"/>
                <w:highlight w:val="white"/>
              </w:rPr>
              <w:t xml:space="preserve">,39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000 01 05 00 00 00 0000 000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widowControl w:val="off"/>
              <w:rPr>
                <w:strike/>
                <w:sz w:val="28"/>
                <w:szCs w:val="28"/>
              </w:rPr>
            </w:pPr>
            <w:r>
              <w:rPr>
                <w:strike/>
                <w:sz w:val="28"/>
                <w:szCs w:val="28"/>
              </w:rPr>
            </w:r>
            <w:r>
              <w:rPr>
                <w:strike/>
                <w:sz w:val="28"/>
                <w:szCs w:val="28"/>
              </w:rPr>
            </w:r>
            <w:r>
              <w:rPr>
                <w:strike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остатков средств на счетах по учету средств бюдж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79"/>
              <w:ind w:right="-70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 448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 724</w:t>
            </w:r>
            <w:r>
              <w:rPr>
                <w:sz w:val="28"/>
                <w:szCs w:val="28"/>
                <w:highlight w:val="white"/>
              </w:rPr>
              <w:t xml:space="preserve">,</w:t>
            </w: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000 01 05 02 00 00 0000 500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-60</w:t>
            </w:r>
            <w:r>
              <w:rPr>
                <w:sz w:val="28"/>
                <w:szCs w:val="28"/>
                <w:highlight w:val="white"/>
              </w:rPr>
              <w:t xml:space="preserve"> 703</w:t>
            </w:r>
            <w:r>
              <w:rPr>
                <w:sz w:val="28"/>
                <w:szCs w:val="28"/>
                <w:highlight w:val="white"/>
              </w:rPr>
              <w:t xml:space="preserve"> 754,90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 xml:space="preserve">Увеличение прочих остатков</w:t>
            </w:r>
            <w:r>
              <w:rPr>
                <w:sz w:val="28"/>
                <w:szCs w:val="28"/>
              </w:rPr>
              <w:t xml:space="preserve"> денежных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  <w:t xml:space="preserve"> 703</w:t>
            </w:r>
            <w:r>
              <w:rPr>
                <w:sz w:val="28"/>
                <w:szCs w:val="28"/>
                <w:highlight w:val="white"/>
              </w:rPr>
              <w:t xml:space="preserve"> 754,90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395 01 05 02 01 09 0000 510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 xml:space="preserve">зательного медицинского стра</w:t>
            </w:r>
            <w:r>
              <w:rPr>
                <w:sz w:val="28"/>
                <w:szCs w:val="28"/>
              </w:rPr>
              <w:t xml:space="preserve">х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  <w:t xml:space="preserve"> 703</w:t>
            </w:r>
            <w:r>
              <w:rPr>
                <w:sz w:val="28"/>
                <w:szCs w:val="28"/>
                <w:highlight w:val="white"/>
              </w:rPr>
              <w:t xml:space="preserve"> 754,90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4" w:space="0"/>
              <w:right w:val="none" w:color="000000" w:sz="0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000 01 05 02 00 00 0000 600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4" w:space="0"/>
              <w:right w:val="none" w:color="000000" w:sz="0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средств бюджетов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4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63 152</w:t>
            </w:r>
            <w:r>
              <w:rPr>
                <w:sz w:val="28"/>
                <w:szCs w:val="28"/>
                <w:highlight w:val="white"/>
              </w:rPr>
              <w:t xml:space="preserve"> 479</w:t>
            </w:r>
            <w:r>
              <w:rPr>
                <w:sz w:val="28"/>
                <w:szCs w:val="28"/>
                <w:highlight w:val="white"/>
              </w:rPr>
              <w:t xml:space="preserve">,29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>
          <w:trHeight w:val="51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000 01 05 02 01 00 0000 610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ind w:right="-70"/>
              <w:jc w:val="right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63 152</w:t>
            </w:r>
            <w:r>
              <w:rPr>
                <w:sz w:val="28"/>
                <w:szCs w:val="28"/>
                <w:highlight w:val="white"/>
              </w:rPr>
              <w:t xml:space="preserve"> 479</w:t>
            </w:r>
            <w:r>
              <w:rPr>
                <w:sz w:val="28"/>
                <w:szCs w:val="28"/>
                <w:highlight w:val="white"/>
              </w:rPr>
              <w:t xml:space="preserve">,29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2" w:type="dxa"/>
            <w:vAlign w:val="top"/>
            <w:textDirection w:val="lrTb"/>
            <w:noWrap w:val="false"/>
          </w:tcPr>
          <w:p>
            <w:pPr>
              <w:pStyle w:val="87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395 01 05 02 01 09 0000 610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1" w:type="dxa"/>
            <w:vAlign w:val="top"/>
            <w:textDirection w:val="lrTb"/>
            <w:noWrap w:val="false"/>
          </w:tcPr>
          <w:p>
            <w:pPr>
              <w:pStyle w:val="879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 xml:space="preserve">зательного медицинского стра</w:t>
            </w:r>
            <w:r>
              <w:rPr>
                <w:sz w:val="28"/>
                <w:szCs w:val="28"/>
              </w:rPr>
              <w:t xml:space="preserve">х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79"/>
              <w:ind w:left="-57" w:right="-6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  <w:t xml:space="preserve">63 152</w:t>
            </w:r>
            <w:r>
              <w:rPr>
                <w:sz w:val="28"/>
                <w:szCs w:val="28"/>
                <w:highlight w:val="white"/>
              </w:rPr>
              <w:t xml:space="preserve"> 479</w:t>
            </w:r>
            <w:r>
              <w:rPr>
                <w:sz w:val="28"/>
                <w:szCs w:val="28"/>
                <w:highlight w:val="white"/>
              </w:rPr>
              <w:t xml:space="preserve">,29</w:t>
            </w:r>
            <w:r>
              <w:rPr>
                <w:sz w:val="28"/>
                <w:szCs w:val="28"/>
                <w:highlight w:val="white"/>
              </w:rPr>
              <w:t xml:space="preserve">».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Style w:val="879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9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 xml:space="preserve">на следующий день после </w:t>
      </w:r>
      <w:r>
        <w:rPr>
          <w:sz w:val="28"/>
          <w:szCs w:val="28"/>
        </w:rPr>
        <w:t xml:space="preserve">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убернатор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В.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Владимиров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ind w:firstLine="709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Правительства Ставропольского края                                          А.Д. Антоненко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7" w:h="16840" w:orient="portrait"/>
      <w:pgMar w:top="1418" w:right="567" w:bottom="1134" w:left="1985" w:header="851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jc w:val="right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72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</w:t>
    </w:r>
    <w:r>
      <w:rPr>
        <w:sz w:val="28"/>
        <w:szCs w:val="28"/>
      </w:rPr>
      <w:t xml:space="preserve">                             </w:t>
    </w:r>
    <w:r>
      <w:rPr>
        <w:sz w:val="28"/>
        <w:szCs w:val="28"/>
      </w:rPr>
      <w:t xml:space="preserve">  </w:t>
    </w:r>
    <w:r>
      <w:rPr>
        <w:sz w:val="28"/>
        <w:szCs w:val="28"/>
      </w:rPr>
      <w:t xml:space="preserve">   </w:t>
    </w:r>
    <w:r>
      <w:rPr>
        <w:sz w:val="28"/>
        <w:szCs w:val="28"/>
      </w:rPr>
      <w:t xml:space="preserve">                                                                            </w:t>
    </w:r>
    <w:r>
      <w:rPr>
        <w:sz w:val="28"/>
        <w:szCs w:val="28"/>
      </w:rPr>
    </w:r>
    <w:r>
      <w:rPr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74" w:hanging="76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855"/>
        <w:tabs>
          <w:tab w:val="num" w:pos="139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70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1">
    <w:name w:val="Heading 1"/>
    <w:basedOn w:val="879"/>
    <w:next w:val="87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2">
    <w:name w:val="Heading 1 Char"/>
    <w:link w:val="701"/>
    <w:uiPriority w:val="9"/>
    <w:rPr>
      <w:rFonts w:ascii="Arial" w:hAnsi="Arial" w:eastAsia="Arial" w:cs="Arial"/>
      <w:sz w:val="40"/>
      <w:szCs w:val="40"/>
    </w:rPr>
  </w:style>
  <w:style w:type="paragraph" w:styleId="703">
    <w:name w:val="Heading 2"/>
    <w:basedOn w:val="879"/>
    <w:next w:val="879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4">
    <w:name w:val="Heading 2 Char"/>
    <w:link w:val="703"/>
    <w:uiPriority w:val="9"/>
    <w:rPr>
      <w:rFonts w:ascii="Arial" w:hAnsi="Arial" w:eastAsia="Arial" w:cs="Arial"/>
      <w:sz w:val="34"/>
    </w:rPr>
  </w:style>
  <w:style w:type="paragraph" w:styleId="705">
    <w:name w:val="Heading 3"/>
    <w:basedOn w:val="879"/>
    <w:next w:val="879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6">
    <w:name w:val="Heading 3 Char"/>
    <w:link w:val="705"/>
    <w:uiPriority w:val="9"/>
    <w:rPr>
      <w:rFonts w:ascii="Arial" w:hAnsi="Arial" w:eastAsia="Arial" w:cs="Arial"/>
      <w:sz w:val="30"/>
      <w:szCs w:val="30"/>
    </w:rPr>
  </w:style>
  <w:style w:type="paragraph" w:styleId="707">
    <w:name w:val="Heading 4"/>
    <w:basedOn w:val="879"/>
    <w:next w:val="879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8">
    <w:name w:val="Heading 4 Char"/>
    <w:link w:val="707"/>
    <w:uiPriority w:val="9"/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879"/>
    <w:next w:val="879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0">
    <w:name w:val="Heading 5 Char"/>
    <w:link w:val="709"/>
    <w:uiPriority w:val="9"/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879"/>
    <w:next w:val="879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2">
    <w:name w:val="Heading 6 Char"/>
    <w:link w:val="711"/>
    <w:uiPriority w:val="9"/>
    <w:rPr>
      <w:rFonts w:ascii="Arial" w:hAnsi="Arial" w:eastAsia="Arial" w:cs="Arial"/>
      <w:b/>
      <w:bCs/>
      <w:sz w:val="22"/>
      <w:szCs w:val="22"/>
    </w:rPr>
  </w:style>
  <w:style w:type="paragraph" w:styleId="713">
    <w:name w:val="Heading 7"/>
    <w:basedOn w:val="879"/>
    <w:next w:val="879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4">
    <w:name w:val="Heading 7 Char"/>
    <w:link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5">
    <w:name w:val="Heading 8"/>
    <w:basedOn w:val="879"/>
    <w:next w:val="879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6">
    <w:name w:val="Heading 8 Char"/>
    <w:link w:val="715"/>
    <w:uiPriority w:val="9"/>
    <w:rPr>
      <w:rFonts w:ascii="Arial" w:hAnsi="Arial" w:eastAsia="Arial" w:cs="Arial"/>
      <w:i/>
      <w:iCs/>
      <w:sz w:val="22"/>
      <w:szCs w:val="22"/>
    </w:rPr>
  </w:style>
  <w:style w:type="paragraph" w:styleId="717">
    <w:name w:val="Heading 9"/>
    <w:basedOn w:val="879"/>
    <w:next w:val="879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>
    <w:name w:val="Heading 9 Char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List Paragraph"/>
    <w:basedOn w:val="879"/>
    <w:uiPriority w:val="34"/>
    <w:qFormat/>
    <w:pPr>
      <w:contextualSpacing/>
      <w:ind w:left="720"/>
    </w:pPr>
  </w:style>
  <w:style w:type="paragraph" w:styleId="720">
    <w:name w:val="No Spacing"/>
    <w:uiPriority w:val="1"/>
    <w:qFormat/>
    <w:pPr>
      <w:spacing w:before="0" w:after="0" w:line="240" w:lineRule="auto"/>
    </w:pPr>
  </w:style>
  <w:style w:type="paragraph" w:styleId="721">
    <w:name w:val="Title"/>
    <w:basedOn w:val="879"/>
    <w:next w:val="879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link w:val="721"/>
    <w:uiPriority w:val="10"/>
    <w:rPr>
      <w:sz w:val="48"/>
      <w:szCs w:val="48"/>
    </w:rPr>
  </w:style>
  <w:style w:type="paragraph" w:styleId="723">
    <w:name w:val="Subtitle"/>
    <w:basedOn w:val="879"/>
    <w:next w:val="879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link w:val="723"/>
    <w:uiPriority w:val="11"/>
    <w:rPr>
      <w:sz w:val="24"/>
      <w:szCs w:val="24"/>
    </w:rPr>
  </w:style>
  <w:style w:type="paragraph" w:styleId="725">
    <w:name w:val="Quote"/>
    <w:basedOn w:val="879"/>
    <w:next w:val="879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9"/>
    <w:next w:val="879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paragraph" w:styleId="729">
    <w:name w:val="Header"/>
    <w:basedOn w:val="879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Header Char"/>
    <w:link w:val="729"/>
    <w:uiPriority w:val="99"/>
  </w:style>
  <w:style w:type="paragraph" w:styleId="731">
    <w:name w:val="Footer"/>
    <w:basedOn w:val="879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Footer Char"/>
    <w:link w:val="731"/>
    <w:uiPriority w:val="99"/>
  </w:style>
  <w:style w:type="paragraph" w:styleId="733">
    <w:name w:val="Caption"/>
    <w:basedOn w:val="879"/>
    <w:next w:val="879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733"/>
    <w:link w:val="731"/>
    <w:uiPriority w:val="99"/>
  </w:style>
  <w:style w:type="table" w:styleId="73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1">
    <w:name w:val="Hyperlink"/>
    <w:uiPriority w:val="99"/>
    <w:unhideWhenUsed/>
    <w:rPr>
      <w:color w:val="0000ff" w:themeColor="hyperlink"/>
      <w:u w:val="single"/>
    </w:rPr>
  </w:style>
  <w:style w:type="paragraph" w:styleId="862">
    <w:name w:val="footnote text"/>
    <w:basedOn w:val="879"/>
    <w:link w:val="863"/>
    <w:uiPriority w:val="99"/>
    <w:semiHidden/>
    <w:unhideWhenUsed/>
    <w:pPr>
      <w:spacing w:after="40" w:line="240" w:lineRule="auto"/>
    </w:pPr>
    <w:rPr>
      <w:sz w:val="18"/>
    </w:rPr>
  </w:style>
  <w:style w:type="character" w:styleId="863">
    <w:name w:val="Footnote Text Char"/>
    <w:link w:val="862"/>
    <w:uiPriority w:val="99"/>
    <w:rPr>
      <w:sz w:val="18"/>
    </w:rPr>
  </w:style>
  <w:style w:type="character" w:styleId="864">
    <w:name w:val="footnote reference"/>
    <w:uiPriority w:val="99"/>
    <w:unhideWhenUsed/>
    <w:rPr>
      <w:vertAlign w:val="superscript"/>
    </w:rPr>
  </w:style>
  <w:style w:type="paragraph" w:styleId="865">
    <w:name w:val="endnote text"/>
    <w:basedOn w:val="879"/>
    <w:link w:val="866"/>
    <w:uiPriority w:val="99"/>
    <w:semiHidden/>
    <w:unhideWhenUsed/>
    <w:pPr>
      <w:spacing w:after="0" w:line="240" w:lineRule="auto"/>
    </w:pPr>
    <w:rPr>
      <w:sz w:val="20"/>
    </w:rPr>
  </w:style>
  <w:style w:type="character" w:styleId="866">
    <w:name w:val="Endnote Text Char"/>
    <w:link w:val="865"/>
    <w:uiPriority w:val="99"/>
    <w:rPr>
      <w:sz w:val="20"/>
    </w:rPr>
  </w:style>
  <w:style w:type="character" w:styleId="867">
    <w:name w:val="endnote reference"/>
    <w:uiPriority w:val="99"/>
    <w:semiHidden/>
    <w:unhideWhenUsed/>
    <w:rPr>
      <w:vertAlign w:val="superscript"/>
    </w:rPr>
  </w:style>
  <w:style w:type="paragraph" w:styleId="868">
    <w:name w:val="toc 1"/>
    <w:basedOn w:val="879"/>
    <w:next w:val="879"/>
    <w:uiPriority w:val="39"/>
    <w:unhideWhenUsed/>
    <w:pPr>
      <w:ind w:left="0" w:right="0" w:firstLine="0"/>
      <w:spacing w:after="57"/>
    </w:pPr>
  </w:style>
  <w:style w:type="paragraph" w:styleId="869">
    <w:name w:val="toc 2"/>
    <w:basedOn w:val="879"/>
    <w:next w:val="879"/>
    <w:uiPriority w:val="39"/>
    <w:unhideWhenUsed/>
    <w:pPr>
      <w:ind w:left="283" w:right="0" w:firstLine="0"/>
      <w:spacing w:after="57"/>
    </w:pPr>
  </w:style>
  <w:style w:type="paragraph" w:styleId="870">
    <w:name w:val="toc 3"/>
    <w:basedOn w:val="879"/>
    <w:next w:val="879"/>
    <w:uiPriority w:val="39"/>
    <w:unhideWhenUsed/>
    <w:pPr>
      <w:ind w:left="567" w:right="0" w:firstLine="0"/>
      <w:spacing w:after="57"/>
    </w:pPr>
  </w:style>
  <w:style w:type="paragraph" w:styleId="871">
    <w:name w:val="toc 4"/>
    <w:basedOn w:val="879"/>
    <w:next w:val="879"/>
    <w:uiPriority w:val="39"/>
    <w:unhideWhenUsed/>
    <w:pPr>
      <w:ind w:left="850" w:right="0" w:firstLine="0"/>
      <w:spacing w:after="57"/>
    </w:pPr>
  </w:style>
  <w:style w:type="paragraph" w:styleId="872">
    <w:name w:val="toc 5"/>
    <w:basedOn w:val="879"/>
    <w:next w:val="879"/>
    <w:uiPriority w:val="39"/>
    <w:unhideWhenUsed/>
    <w:pPr>
      <w:ind w:left="1134" w:right="0" w:firstLine="0"/>
      <w:spacing w:after="57"/>
    </w:pPr>
  </w:style>
  <w:style w:type="paragraph" w:styleId="873">
    <w:name w:val="toc 6"/>
    <w:basedOn w:val="879"/>
    <w:next w:val="879"/>
    <w:uiPriority w:val="39"/>
    <w:unhideWhenUsed/>
    <w:pPr>
      <w:ind w:left="1417" w:right="0" w:firstLine="0"/>
      <w:spacing w:after="57"/>
    </w:pPr>
  </w:style>
  <w:style w:type="paragraph" w:styleId="874">
    <w:name w:val="toc 7"/>
    <w:basedOn w:val="879"/>
    <w:next w:val="879"/>
    <w:uiPriority w:val="39"/>
    <w:unhideWhenUsed/>
    <w:pPr>
      <w:ind w:left="1701" w:right="0" w:firstLine="0"/>
      <w:spacing w:after="57"/>
    </w:pPr>
  </w:style>
  <w:style w:type="paragraph" w:styleId="875">
    <w:name w:val="toc 8"/>
    <w:basedOn w:val="879"/>
    <w:next w:val="879"/>
    <w:uiPriority w:val="39"/>
    <w:unhideWhenUsed/>
    <w:pPr>
      <w:ind w:left="1984" w:right="0" w:firstLine="0"/>
      <w:spacing w:after="57"/>
    </w:pPr>
  </w:style>
  <w:style w:type="paragraph" w:styleId="876">
    <w:name w:val="toc 9"/>
    <w:basedOn w:val="879"/>
    <w:next w:val="879"/>
    <w:uiPriority w:val="39"/>
    <w:unhideWhenUsed/>
    <w:pPr>
      <w:ind w:left="2268" w:right="0" w:firstLine="0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879"/>
    <w:next w:val="879"/>
    <w:uiPriority w:val="99"/>
    <w:unhideWhenUsed/>
    <w:pPr>
      <w:spacing w:after="0" w:afterAutospacing="0"/>
    </w:pPr>
  </w:style>
  <w:style w:type="paragraph" w:styleId="879" w:default="1">
    <w:name w:val="Normal"/>
    <w:next w:val="879"/>
    <w:link w:val="879"/>
    <w:qFormat/>
    <w:rPr>
      <w:sz w:val="24"/>
      <w:szCs w:val="24"/>
      <w:lang w:val="ru-RU" w:eastAsia="ru-RU" w:bidi="ar-SA"/>
    </w:rPr>
  </w:style>
  <w:style w:type="paragraph" w:styleId="880">
    <w:name w:val="Заголовок 1"/>
    <w:basedOn w:val="879"/>
    <w:next w:val="879"/>
    <w:link w:val="907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881">
    <w:name w:val="Заголовок 3"/>
    <w:basedOn w:val="879"/>
    <w:next w:val="879"/>
    <w:link w:val="912"/>
    <w:uiPriority w:val="9"/>
    <w:qFormat/>
    <w:pPr>
      <w:keepLines/>
      <w:keepNext/>
      <w:spacing w:before="40" w:line="259" w:lineRule="auto"/>
      <w:outlineLvl w:val="2"/>
    </w:pPr>
    <w:rPr>
      <w:rFonts w:ascii="Calibri Light" w:hAnsi="Calibri Light" w:eastAsia="Times New Roman" w:cs="Times New Roman"/>
      <w:color w:val="1f4d78"/>
      <w:lang w:eastAsia="en-US"/>
    </w:rPr>
  </w:style>
  <w:style w:type="paragraph" w:styleId="882">
    <w:name w:val="Заголовок 9"/>
    <w:basedOn w:val="879"/>
    <w:next w:val="879"/>
    <w:link w:val="879"/>
    <w:qFormat/>
    <w:pPr>
      <w:jc w:val="right"/>
      <w:keepNext/>
      <w:outlineLvl w:val="8"/>
    </w:pPr>
    <w:rPr>
      <w:b/>
      <w:bCs/>
      <w:sz w:val="28"/>
      <w:szCs w:val="28"/>
    </w:rPr>
  </w:style>
  <w:style w:type="character" w:styleId="883">
    <w:name w:val="Основной шрифт абзаца"/>
    <w:next w:val="883"/>
    <w:link w:val="879"/>
    <w:semiHidden/>
  </w:style>
  <w:style w:type="table" w:styleId="884">
    <w:name w:val="Обычная таблица"/>
    <w:next w:val="884"/>
    <w:link w:val="879"/>
    <w:semiHidden/>
    <w:tblPr/>
  </w:style>
  <w:style w:type="numbering" w:styleId="885">
    <w:name w:val="Нет списка"/>
    <w:next w:val="885"/>
    <w:link w:val="879"/>
    <w:semiHidden/>
  </w:style>
  <w:style w:type="paragraph" w:styleId="886">
    <w:name w:val="Текст выноски"/>
    <w:basedOn w:val="879"/>
    <w:next w:val="886"/>
    <w:link w:val="879"/>
    <w:semiHidden/>
    <w:rPr>
      <w:rFonts w:ascii="Tahoma" w:hAnsi="Tahoma" w:cs="Tahoma"/>
      <w:sz w:val="16"/>
      <w:szCs w:val="16"/>
    </w:rPr>
  </w:style>
  <w:style w:type="paragraph" w:styleId="887">
    <w:name w:val="ConsPlusNormal"/>
    <w:next w:val="887"/>
    <w:link w:val="901"/>
    <w:uiPriority w:val="9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88">
    <w:name w:val="ConsPlusNonformat"/>
    <w:next w:val="888"/>
    <w:link w:val="87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89">
    <w:name w:val="ConsPlusTitle"/>
    <w:next w:val="889"/>
    <w:link w:val="879"/>
    <w:pPr>
      <w:widowControl w:val="off"/>
    </w:pPr>
    <w:rPr>
      <w:rFonts w:ascii="Arial" w:hAnsi="Arial" w:cs="Arial"/>
      <w:b/>
      <w:bCs/>
      <w:lang w:val="ru-RU" w:eastAsia="ru-RU" w:bidi="ar-SA"/>
    </w:rPr>
  </w:style>
  <w:style w:type="paragraph" w:styleId="890">
    <w:name w:val="ConsPlusCell"/>
    <w:next w:val="890"/>
    <w:link w:val="879"/>
    <w:uiPriority w:val="99"/>
    <w:pPr>
      <w:widowControl w:val="off"/>
    </w:pPr>
    <w:rPr>
      <w:rFonts w:ascii="Arial" w:hAnsi="Arial" w:cs="Arial"/>
      <w:lang w:val="ru-RU" w:eastAsia="ru-RU" w:bidi="ar-SA"/>
    </w:rPr>
  </w:style>
  <w:style w:type="paragraph" w:styleId="891">
    <w:name w:val="ConsPlusDocList"/>
    <w:next w:val="891"/>
    <w:link w:val="87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92">
    <w:name w:val="Верхний колонтитул"/>
    <w:basedOn w:val="879"/>
    <w:next w:val="892"/>
    <w:link w:val="915"/>
    <w:uiPriority w:val="99"/>
    <w:pPr>
      <w:tabs>
        <w:tab w:val="center" w:pos="4677" w:leader="none"/>
        <w:tab w:val="right" w:pos="9355" w:leader="none"/>
      </w:tabs>
    </w:pPr>
  </w:style>
  <w:style w:type="character" w:styleId="893">
    <w:name w:val="Номер страницы"/>
    <w:basedOn w:val="883"/>
    <w:next w:val="893"/>
    <w:link w:val="879"/>
  </w:style>
  <w:style w:type="table" w:styleId="894">
    <w:name w:val="Сетка таблицы"/>
    <w:basedOn w:val="884"/>
    <w:next w:val="894"/>
    <w:link w:val="879"/>
    <w:uiPriority w:val="39"/>
    <w:rPr>
      <w:lang w:bidi="ar-SA"/>
    </w:rPr>
    <w:tblPr/>
  </w:style>
  <w:style w:type="paragraph" w:styleId="895">
    <w:name w:val="ConsNormal"/>
    <w:next w:val="895"/>
    <w:link w:val="87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96">
    <w:name w:val="ConsNonformat"/>
    <w:next w:val="896"/>
    <w:link w:val="87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97">
    <w:name w:val="ConsCell"/>
    <w:next w:val="897"/>
    <w:link w:val="879"/>
    <w:pPr>
      <w:widowControl w:val="off"/>
    </w:pPr>
    <w:rPr>
      <w:rFonts w:ascii="Arial" w:hAnsi="Arial" w:cs="Arial"/>
      <w:lang w:val="ru-RU" w:eastAsia="ru-RU" w:bidi="ar-SA"/>
    </w:rPr>
  </w:style>
  <w:style w:type="paragraph" w:styleId="898">
    <w:name w:val="ConsTitle"/>
    <w:next w:val="898"/>
    <w:link w:val="879"/>
    <w:pPr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styleId="899">
    <w:name w:val="Нижний колонтитул"/>
    <w:basedOn w:val="879"/>
    <w:next w:val="899"/>
    <w:link w:val="879"/>
    <w:pPr>
      <w:tabs>
        <w:tab w:val="center" w:pos="4677" w:leader="none"/>
        <w:tab w:val="right" w:pos="9355" w:leader="none"/>
      </w:tabs>
    </w:pPr>
  </w:style>
  <w:style w:type="paragraph" w:styleId="900">
    <w:name w:val="Знак Знак Знак1 Знак"/>
    <w:basedOn w:val="879"/>
    <w:next w:val="900"/>
    <w:link w:val="8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01">
    <w:name w:val="ConsPlusNormal Знак"/>
    <w:next w:val="901"/>
    <w:link w:val="887"/>
    <w:uiPriority w:val="99"/>
    <w:rPr>
      <w:rFonts w:ascii="Arial" w:hAnsi="Arial" w:cs="Arial"/>
      <w:lang w:val="ru-RU" w:eastAsia="ru-RU" w:bidi="ar-SA"/>
    </w:rPr>
  </w:style>
  <w:style w:type="character" w:styleId="902">
    <w:name w:val="Знак примечания"/>
    <w:next w:val="902"/>
    <w:link w:val="879"/>
    <w:rPr>
      <w:sz w:val="16"/>
      <w:szCs w:val="16"/>
    </w:rPr>
  </w:style>
  <w:style w:type="paragraph" w:styleId="903">
    <w:name w:val="Текст примечания"/>
    <w:basedOn w:val="879"/>
    <w:next w:val="903"/>
    <w:link w:val="904"/>
    <w:rPr>
      <w:sz w:val="20"/>
      <w:szCs w:val="20"/>
    </w:rPr>
  </w:style>
  <w:style w:type="character" w:styleId="904">
    <w:name w:val="Текст примечания Знак"/>
    <w:basedOn w:val="883"/>
    <w:next w:val="904"/>
    <w:link w:val="903"/>
  </w:style>
  <w:style w:type="paragraph" w:styleId="905">
    <w:name w:val="Тема примечания"/>
    <w:basedOn w:val="903"/>
    <w:next w:val="903"/>
    <w:link w:val="906"/>
    <w:rPr>
      <w:b/>
      <w:bCs/>
    </w:rPr>
  </w:style>
  <w:style w:type="character" w:styleId="906">
    <w:name w:val="Тема примечания Знак"/>
    <w:next w:val="906"/>
    <w:link w:val="905"/>
    <w:rPr>
      <w:b/>
      <w:bCs/>
    </w:rPr>
  </w:style>
  <w:style w:type="character" w:styleId="907">
    <w:name w:val="Заголовок 1 Знак"/>
    <w:next w:val="907"/>
    <w:link w:val="880"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908">
    <w:name w:val="Выделение"/>
    <w:next w:val="908"/>
    <w:link w:val="879"/>
    <w:qFormat/>
    <w:rPr>
      <w:i/>
      <w:iCs/>
    </w:rPr>
  </w:style>
  <w:style w:type="paragraph" w:styleId="909">
    <w:name w:val="Название"/>
    <w:basedOn w:val="879"/>
    <w:next w:val="879"/>
    <w:link w:val="910"/>
    <w:qFormat/>
    <w:pPr>
      <w:jc w:val="center"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910">
    <w:name w:val="Название Знак"/>
    <w:next w:val="910"/>
    <w:link w:val="909"/>
    <w:rPr>
      <w:rFonts w:ascii="Calibri Light" w:hAnsi="Calibri Light" w:eastAsia="Times New Roman" w:cs="Times New Roman"/>
      <w:b/>
      <w:bCs/>
      <w:sz w:val="32"/>
      <w:szCs w:val="32"/>
    </w:rPr>
  </w:style>
  <w:style w:type="paragraph" w:styleId="911">
    <w:name w:val=" Знак Знак Знак1 Знак"/>
    <w:basedOn w:val="879"/>
    <w:next w:val="911"/>
    <w:link w:val="88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12">
    <w:name w:val="Заголовок 3 Знак"/>
    <w:next w:val="912"/>
    <w:link w:val="881"/>
    <w:uiPriority w:val="9"/>
    <w:rPr>
      <w:rFonts w:ascii="Calibri Light" w:hAnsi="Calibri Light"/>
      <w:color w:val="1f4d78"/>
      <w:sz w:val="24"/>
      <w:szCs w:val="24"/>
      <w:lang w:eastAsia="en-US"/>
    </w:rPr>
  </w:style>
  <w:style w:type="paragraph" w:styleId="913">
    <w:name w:val="Без интервала"/>
    <w:next w:val="913"/>
    <w:link w:val="879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14">
    <w:name w:val="Сильное выделение"/>
    <w:next w:val="914"/>
    <w:link w:val="879"/>
    <w:uiPriority w:val="21"/>
    <w:qFormat/>
    <w:rPr>
      <w:i/>
      <w:iCs/>
      <w:color w:val="5b9bd5"/>
    </w:rPr>
  </w:style>
  <w:style w:type="character" w:styleId="915">
    <w:name w:val="Верхний колонтитул Знак"/>
    <w:next w:val="915"/>
    <w:link w:val="892"/>
    <w:uiPriority w:val="99"/>
    <w:rPr>
      <w:sz w:val="24"/>
      <w:szCs w:val="24"/>
    </w:rPr>
  </w:style>
  <w:style w:type="table" w:styleId="916">
    <w:name w:val="Сетка таблицы1"/>
    <w:basedOn w:val="884"/>
    <w:next w:val="894"/>
    <w:link w:val="879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character" w:styleId="917" w:default="1">
    <w:name w:val="Default Paragraph Font"/>
    <w:uiPriority w:val="1"/>
    <w:semiHidden/>
    <w:unhideWhenUsed/>
  </w:style>
  <w:style w:type="numbering" w:styleId="918" w:default="1">
    <w:name w:val="No List"/>
    <w:uiPriority w:val="99"/>
    <w:semiHidden/>
    <w:unhideWhenUsed/>
  </w:style>
  <w:style w:type="table" w:styleId="91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СКФОМС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июля 2007 года N 184-ФЗ</dc:title>
  <dc:creator>ConsultantPlus</dc:creator>
  <cp:lastModifiedBy>terehova_nv</cp:lastModifiedBy>
  <cp:revision>334</cp:revision>
  <dcterms:created xsi:type="dcterms:W3CDTF">2021-02-02T04:53:00Z</dcterms:created>
  <dcterms:modified xsi:type="dcterms:W3CDTF">2026-04-13T15:07:22Z</dcterms:modified>
  <cp:version>983040</cp:version>
</cp:coreProperties>
</file>